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3413" w14:textId="77777777" w:rsidR="00A746E2" w:rsidRPr="005748B5" w:rsidRDefault="00A746E2" w:rsidP="00A74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8B5">
        <w:rPr>
          <w:rFonts w:ascii="Times New Roman" w:hAnsi="Times New Roman" w:cs="Times New Roman"/>
          <w:b/>
          <w:sz w:val="24"/>
          <w:szCs w:val="24"/>
        </w:rPr>
        <w:t xml:space="preserve">Colorado T&amp;E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Statutory Revisions Committee </w:t>
      </w:r>
      <w:r w:rsidRPr="005748B5">
        <w:rPr>
          <w:rFonts w:ascii="Times New Roman" w:hAnsi="Times New Roman" w:cs="Times New Roman"/>
          <w:b/>
          <w:sz w:val="24"/>
          <w:szCs w:val="24"/>
        </w:rPr>
        <w:t>Subcommittee on the</w:t>
      </w:r>
    </w:p>
    <w:p w14:paraId="06E680F1" w14:textId="77777777" w:rsidR="00A746E2" w:rsidRDefault="00A746E2" w:rsidP="00A74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Colorado Uniform Electronic Wills Act</w:t>
      </w:r>
    </w:p>
    <w:p w14:paraId="53ED4E54" w14:textId="77777777" w:rsidR="00A746E2" w:rsidRDefault="00A746E2" w:rsidP="00A74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Herb E. Tucker </w:t>
      </w:r>
    </w:p>
    <w:p w14:paraId="51E2CFDF" w14:textId="4154FC2B" w:rsidR="00A746E2" w:rsidRDefault="00A746E2" w:rsidP="00A74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15203">
        <w:rPr>
          <w:rFonts w:ascii="Times New Roman" w:hAnsi="Times New Roman" w:cs="Times New Roman"/>
          <w:b/>
          <w:noProof/>
          <w:sz w:val="24"/>
          <w:szCs w:val="24"/>
        </w:rPr>
        <w:t>August 27, 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13"/>
        <w:gridCol w:w="6399"/>
      </w:tblGrid>
      <w:tr w:rsidR="00A746E2" w14:paraId="7E6EFD20" w14:textId="77777777" w:rsidTr="0017148F">
        <w:tc>
          <w:tcPr>
            <w:tcW w:w="2938" w:type="dxa"/>
          </w:tcPr>
          <w:p w14:paraId="054D724F" w14:textId="77777777" w:rsidR="00A746E2" w:rsidRPr="005748B5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UEWA Section</w:t>
            </w:r>
          </w:p>
        </w:tc>
        <w:tc>
          <w:tcPr>
            <w:tcW w:w="6412" w:type="dxa"/>
            <w:gridSpan w:val="2"/>
          </w:tcPr>
          <w:p w14:paraId="07270171" w14:textId="4A2F4D08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</w:p>
        </w:tc>
      </w:tr>
      <w:tr w:rsidR="00A746E2" w14:paraId="0CBA6A7F" w14:textId="77777777" w:rsidTr="0017148F">
        <w:tc>
          <w:tcPr>
            <w:tcW w:w="2938" w:type="dxa"/>
          </w:tcPr>
          <w:p w14:paraId="02F1B3DB" w14:textId="77777777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Title</w:t>
            </w:r>
          </w:p>
        </w:tc>
        <w:tc>
          <w:tcPr>
            <w:tcW w:w="6412" w:type="dxa"/>
            <w:gridSpan w:val="2"/>
          </w:tcPr>
          <w:p w14:paraId="0D8D9C86" w14:textId="2EC883A9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Title</w:t>
            </w:r>
          </w:p>
        </w:tc>
      </w:tr>
      <w:tr w:rsidR="00A746E2" w14:paraId="728552A8" w14:textId="77777777" w:rsidTr="0017148F">
        <w:tc>
          <w:tcPr>
            <w:tcW w:w="2938" w:type="dxa"/>
          </w:tcPr>
          <w:p w14:paraId="66943BE3" w14:textId="77777777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UEWA Statutory Language</w:t>
            </w:r>
          </w:p>
        </w:tc>
        <w:tc>
          <w:tcPr>
            <w:tcW w:w="6412" w:type="dxa"/>
            <w:gridSpan w:val="2"/>
          </w:tcPr>
          <w:p w14:paraId="5FCA64AE" w14:textId="5874FD50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[act] may be cited as the Uniform Electronic Wills Act</w:t>
            </w:r>
          </w:p>
        </w:tc>
      </w:tr>
      <w:tr w:rsidR="00A746E2" w14:paraId="6E612872" w14:textId="77777777" w:rsidTr="0017148F">
        <w:tc>
          <w:tcPr>
            <w:tcW w:w="2938" w:type="dxa"/>
          </w:tcPr>
          <w:p w14:paraId="7FC0E300" w14:textId="77777777" w:rsidR="00A746E2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 Law Commission Comment</w:t>
            </w:r>
          </w:p>
        </w:tc>
        <w:tc>
          <w:tcPr>
            <w:tcW w:w="6412" w:type="dxa"/>
            <w:gridSpan w:val="2"/>
          </w:tcPr>
          <w:p w14:paraId="25D16D77" w14:textId="0FC1D39A" w:rsidR="00A746E2" w:rsidRPr="00F77AAD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</w:p>
        </w:tc>
      </w:tr>
      <w:tr w:rsidR="00A746E2" w:rsidRPr="00AF1254" w14:paraId="1C519756" w14:textId="77777777" w:rsidTr="0017148F">
        <w:tc>
          <w:tcPr>
            <w:tcW w:w="2951" w:type="dxa"/>
            <w:gridSpan w:val="2"/>
          </w:tcPr>
          <w:p w14:paraId="34029B27" w14:textId="77777777" w:rsidR="00A746E2" w:rsidRPr="00AF1254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254">
              <w:rPr>
                <w:rFonts w:ascii="Times New Roman" w:hAnsi="Times New Roman" w:cs="Times New Roman"/>
                <w:sz w:val="24"/>
                <w:szCs w:val="24"/>
              </w:rPr>
              <w:t>Colorado Subcommittee Comment</w:t>
            </w:r>
          </w:p>
        </w:tc>
        <w:tc>
          <w:tcPr>
            <w:tcW w:w="6399" w:type="dxa"/>
          </w:tcPr>
          <w:p w14:paraId="6306F0D2" w14:textId="34A69632" w:rsidR="00A746E2" w:rsidRPr="00AF1254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Colorado enactment should call the </w:t>
            </w:r>
            <w:r w:rsidR="00A15203">
              <w:rPr>
                <w:rFonts w:ascii="Times New Roman" w:hAnsi="Times New Roman" w:cs="Times New Roman"/>
                <w:sz w:val="24"/>
                <w:szCs w:val="24"/>
              </w:rPr>
              <w:t xml:space="preserve">act the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“Colorado Uniform Electronic Wills Act”.  </w:t>
            </w:r>
          </w:p>
        </w:tc>
      </w:tr>
      <w:tr w:rsidR="00A746E2" w:rsidRPr="00AF1254" w14:paraId="03FE37A2" w14:textId="77777777" w:rsidTr="0017148F">
        <w:tc>
          <w:tcPr>
            <w:tcW w:w="2951" w:type="dxa"/>
            <w:gridSpan w:val="2"/>
          </w:tcPr>
          <w:p w14:paraId="01277911" w14:textId="77777777" w:rsidR="00A746E2" w:rsidRPr="00AF1254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254">
              <w:rPr>
                <w:rFonts w:ascii="Times New Roman" w:hAnsi="Times New Roman" w:cs="Times New Roman"/>
                <w:sz w:val="24"/>
                <w:szCs w:val="24"/>
              </w:rPr>
              <w:t>Colorado Subcommittee Recommendation</w:t>
            </w:r>
          </w:p>
        </w:tc>
        <w:tc>
          <w:tcPr>
            <w:tcW w:w="6399" w:type="dxa"/>
          </w:tcPr>
          <w:p w14:paraId="625C24D7" w14:textId="172ACD08" w:rsidR="00A746E2" w:rsidRPr="00AF1254" w:rsidRDefault="00A746E2" w:rsidP="00171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should adopt this section with the addition of the word “Colorado” before “Uniform Directed Trust Act.”</w:t>
            </w:r>
          </w:p>
        </w:tc>
      </w:tr>
    </w:tbl>
    <w:p w14:paraId="4AA8F387" w14:textId="77777777" w:rsidR="00A746E2" w:rsidRDefault="00A746E2" w:rsidP="00A746E2">
      <w:pPr>
        <w:tabs>
          <w:tab w:val="right" w:pos="216"/>
          <w:tab w:val="left" w:pos="3096"/>
        </w:tabs>
        <w:spacing w:before="8" w:line="276" w:lineRule="exact"/>
        <w:ind w:left="144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</w:rPr>
      </w:pPr>
    </w:p>
    <w:p w14:paraId="04087FEF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E2"/>
    <w:rsid w:val="00645252"/>
    <w:rsid w:val="006D3D74"/>
    <w:rsid w:val="0083569A"/>
    <w:rsid w:val="00A15203"/>
    <w:rsid w:val="00A746E2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61CD"/>
  <w15:chartTrackingRefBased/>
  <w15:docId w15:val="{C7097347-E316-46E7-913B-057472B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E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rFonts w:eastAsiaTheme="minorHAns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eastAsiaTheme="minorHAns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eastAsiaTheme="minorHAns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eastAsiaTheme="minorHAnsi"/>
    </w:rPr>
  </w:style>
  <w:style w:type="table" w:styleId="TableGrid">
    <w:name w:val="Table Grid"/>
    <w:basedOn w:val="TableNormal"/>
    <w:uiPriority w:val="59"/>
    <w:rsid w:val="00A746E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ill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Ahillas</dc:creator>
  <cp:keywords/>
  <dc:description/>
  <cp:lastModifiedBy>Joanne Ahillas</cp:lastModifiedBy>
  <cp:revision>2</cp:revision>
  <cp:lastPrinted>2019-08-27T17:33:00Z</cp:lastPrinted>
  <dcterms:created xsi:type="dcterms:W3CDTF">2019-08-27T17:25:00Z</dcterms:created>
  <dcterms:modified xsi:type="dcterms:W3CDTF">2019-08-27T17:34:00Z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